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nrrjts879xit" w:id="0"/>
      <w:bookmarkEnd w:id="0"/>
      <w:r w:rsidDel="00000000" w:rsidR="00000000" w:rsidRPr="00000000">
        <w:rPr>
          <w:rtl w:val="0"/>
        </w:rPr>
        <w:t xml:space="preserve">Pregnancy Myths or Truths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Directions: For each of the following statements, place a check by the ones you believe to be true. Leave the statements blank if you think they are myths or false. Read carefully!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If the baby’s heart rate is low, you’re carrying a boy. If the heart rate is high, it’s a girl.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If a pregnant woman raises her hands above her head, she’ll choke her baby because the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umbilical cord will wrap around the baby’s neck.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If a pregnant woman sees something ugly or horrible, her baby will be ugly.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If a pregnant woman’s face breaks out, she is carrying a girl who will steal all of her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mother’s beauty.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 baby born with light brown birthmarks (known as café au lait spots), the mother drank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too much coffee or had unfulfilled cravings during her pregnancy.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Mothers should not begin any exercises that they have not already done prior to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Pregnancy.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Eating spicy food will bring on labor.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If a mother has a lot of indigestion, the baby will have a lot of hair.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 woman should always lie on her left side during pregnancy.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 pregnant woman shouldn’t take baths.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If the mother is carrying the baby high, it’s a girl. If she’s carrying low, it’s a boy.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It’s dangerous to have sex during pregnancy.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If a mother eats red foods, the child will have a reddish (port wine) birthmark.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You lose a tooth for every baby.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Can you think of other statements that you have heard about pregnancy?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